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06" w:rsidRPr="00DC3545" w:rsidRDefault="006E6606" w:rsidP="00E23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3913" w:rsidRDefault="00F33913" w:rsidP="00E23C0D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13" w:rsidRPr="00E57DDE" w:rsidRDefault="00F33913" w:rsidP="00E23C0D">
      <w:pPr>
        <w:ind w:left="1134"/>
        <w:jc w:val="center"/>
        <w:rPr>
          <w:rFonts w:ascii="Times New Roman" w:hAnsi="Times New Roman" w:cs="Times New Roman"/>
          <w:b/>
        </w:rPr>
      </w:pPr>
    </w:p>
    <w:p w:rsidR="00C17CFA" w:rsidRPr="008C40A0" w:rsidRDefault="00F33913" w:rsidP="00F33913">
      <w:pPr>
        <w:ind w:left="1134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A0">
        <w:rPr>
          <w:rFonts w:ascii="Times New Roman" w:hAnsi="Times New Roman" w:cs="Times New Roman"/>
          <w:b/>
          <w:sz w:val="28"/>
          <w:szCs w:val="28"/>
        </w:rPr>
        <w:t xml:space="preserve">GÜBRE ALIMI </w:t>
      </w:r>
      <w:r w:rsidR="00AA70F8" w:rsidRPr="008C40A0">
        <w:rPr>
          <w:rFonts w:ascii="Times New Roman" w:hAnsi="Times New Roman" w:cs="Times New Roman"/>
          <w:b/>
          <w:sz w:val="28"/>
          <w:szCs w:val="28"/>
        </w:rPr>
        <w:t>TEKNİK</w:t>
      </w:r>
      <w:r w:rsidR="00113367" w:rsidRPr="008C4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81D" w:rsidRPr="008C40A0">
        <w:rPr>
          <w:rFonts w:ascii="Times New Roman" w:hAnsi="Times New Roman" w:cs="Times New Roman"/>
          <w:b/>
          <w:sz w:val="28"/>
          <w:szCs w:val="28"/>
        </w:rPr>
        <w:t>ŞARTNAME</w:t>
      </w:r>
      <w:r w:rsidRPr="008C40A0">
        <w:rPr>
          <w:rFonts w:ascii="Times New Roman" w:hAnsi="Times New Roman" w:cs="Times New Roman"/>
          <w:b/>
          <w:sz w:val="28"/>
          <w:szCs w:val="28"/>
        </w:rPr>
        <w:t>Sİ</w:t>
      </w:r>
    </w:p>
    <w:p w:rsidR="008A78B5" w:rsidRPr="008C40A0" w:rsidRDefault="00C04CBC" w:rsidP="00C04CBC">
      <w:pPr>
        <w:suppressAutoHyphens/>
        <w:spacing w:after="0" w:line="240" w:lineRule="auto"/>
        <w:ind w:left="1276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379BE" w:rsidRPr="008C40A0">
        <w:rPr>
          <w:rFonts w:ascii="Times New Roman" w:hAnsi="Times New Roman" w:cs="Times New Roman"/>
          <w:color w:val="000000"/>
          <w:sz w:val="28"/>
          <w:szCs w:val="28"/>
        </w:rPr>
        <w:t>Bolaman H</w:t>
      </w:r>
      <w:r w:rsidR="00DA0657" w:rsidRPr="008C40A0">
        <w:rPr>
          <w:rFonts w:ascii="Times New Roman" w:hAnsi="Times New Roman" w:cs="Times New Roman"/>
          <w:color w:val="000000"/>
          <w:sz w:val="28"/>
          <w:szCs w:val="28"/>
        </w:rPr>
        <w:t>avzası Rehabilitasyon Projesi kapsamında</w:t>
      </w:r>
      <w:r w:rsidR="0091230B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63DD6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Başçiftlik </w:t>
      </w:r>
      <w:r w:rsidR="00E818EA" w:rsidRPr="008C40A0">
        <w:rPr>
          <w:rFonts w:ascii="Times New Roman" w:hAnsi="Times New Roman" w:cs="Times New Roman"/>
          <w:color w:val="000000"/>
          <w:sz w:val="28"/>
          <w:szCs w:val="28"/>
        </w:rPr>
        <w:t>Karacaören</w:t>
      </w:r>
      <w:r w:rsidR="00604D05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Mh.</w:t>
      </w:r>
      <w:r w:rsidR="00D63DD6" w:rsidRPr="008C40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79BE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Niksar</w:t>
      </w:r>
      <w:r w:rsidR="00E818EA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Bilgili</w:t>
      </w:r>
      <w:r w:rsidR="00604D05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Köyü</w:t>
      </w:r>
      <w:r w:rsidR="00D63DD6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ile</w:t>
      </w:r>
      <w:r w:rsidR="006379BE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Reşadiye</w:t>
      </w:r>
      <w:r w:rsidR="00D63DD6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Bereketli, Baydarlı</w:t>
      </w:r>
      <w:r w:rsidR="008368EF" w:rsidRPr="008C40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230B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106" w:rsidRPr="008C40A0">
        <w:rPr>
          <w:rFonts w:ascii="Times New Roman" w:hAnsi="Times New Roman" w:cs="Times New Roman"/>
          <w:color w:val="000000"/>
          <w:sz w:val="28"/>
          <w:szCs w:val="28"/>
        </w:rPr>
        <w:t>Bozcalı</w:t>
      </w:r>
      <w:r w:rsidR="009801B9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Belde</w:t>
      </w:r>
      <w:r w:rsidR="008368EF" w:rsidRPr="008C40A0">
        <w:rPr>
          <w:rFonts w:ascii="Times New Roman" w:hAnsi="Times New Roman" w:cs="Times New Roman"/>
          <w:color w:val="000000"/>
          <w:sz w:val="28"/>
          <w:szCs w:val="28"/>
        </w:rPr>
        <w:t>leri</w:t>
      </w:r>
      <w:r w:rsidR="009801B9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ve Mahalleleri mera, yaylak ve kışlak alanlarına </w:t>
      </w:r>
      <w:r w:rsidR="00BA47DA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atılmak </w:t>
      </w:r>
      <w:r w:rsidR="005553CD" w:rsidRPr="008C40A0">
        <w:rPr>
          <w:rFonts w:ascii="Times New Roman" w:hAnsi="Times New Roman" w:cs="Times New Roman"/>
          <w:color w:val="000000"/>
          <w:sz w:val="28"/>
          <w:szCs w:val="28"/>
        </w:rPr>
        <w:t>üzere,</w:t>
      </w:r>
      <w:r w:rsidR="0091230B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4EF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7DA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gübre alımı </w:t>
      </w:r>
      <w:r w:rsidR="00B129CF" w:rsidRPr="008C40A0">
        <w:rPr>
          <w:rFonts w:ascii="Times New Roman" w:hAnsi="Times New Roman" w:cs="Times New Roman"/>
          <w:color w:val="000000"/>
          <w:sz w:val="28"/>
          <w:szCs w:val="28"/>
        </w:rPr>
        <w:t>yapılacaktır</w:t>
      </w:r>
      <w:r w:rsidR="0012347D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. Alımı yapılacak </w:t>
      </w:r>
      <w:r w:rsidR="00BA47DA"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gübrelerin </w:t>
      </w:r>
      <w:r w:rsidR="00ED481D" w:rsidRPr="008C40A0">
        <w:rPr>
          <w:rFonts w:ascii="Times New Roman" w:hAnsi="Times New Roman" w:cs="Times New Roman"/>
          <w:color w:val="000000"/>
          <w:sz w:val="28"/>
          <w:szCs w:val="28"/>
        </w:rPr>
        <w:t>aşağıdaki özellikleri taşıması gerekmektedir;</w:t>
      </w:r>
      <w:r w:rsidR="00583B12" w:rsidRPr="008C4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F0" w:rsidRPr="008C40A0" w:rsidRDefault="005F7EF0" w:rsidP="00E818EA">
      <w:pPr>
        <w:suppressAutoHyphens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4236" w:rsidRDefault="00300CD4" w:rsidP="00BF4CA9">
      <w:pPr>
        <w:numPr>
          <w:ilvl w:val="0"/>
          <w:numId w:val="1"/>
        </w:numPr>
        <w:suppressAutoHyphens/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A0">
        <w:rPr>
          <w:rFonts w:ascii="Times New Roman" w:hAnsi="Times New Roman" w:cs="Times New Roman"/>
          <w:sz w:val="28"/>
          <w:szCs w:val="28"/>
        </w:rPr>
        <w:t>20.20.</w:t>
      </w:r>
      <w:r w:rsidR="00BA7999" w:rsidRPr="008C40A0">
        <w:rPr>
          <w:rFonts w:ascii="Times New Roman" w:hAnsi="Times New Roman" w:cs="Times New Roman"/>
          <w:sz w:val="28"/>
          <w:szCs w:val="28"/>
        </w:rPr>
        <w:t>0</w:t>
      </w:r>
      <w:r w:rsidRPr="008C40A0">
        <w:rPr>
          <w:rFonts w:ascii="Times New Roman" w:hAnsi="Times New Roman" w:cs="Times New Roman"/>
          <w:sz w:val="28"/>
          <w:szCs w:val="28"/>
        </w:rPr>
        <w:t xml:space="preserve"> </w:t>
      </w:r>
      <w:r w:rsidR="00BA7999" w:rsidRPr="008C40A0">
        <w:rPr>
          <w:rFonts w:ascii="Times New Roman" w:hAnsi="Times New Roman" w:cs="Times New Roman"/>
          <w:sz w:val="28"/>
          <w:szCs w:val="28"/>
        </w:rPr>
        <w:t>+Zn kompoze</w:t>
      </w:r>
      <w:r w:rsidR="00E5616D" w:rsidRPr="008C40A0">
        <w:rPr>
          <w:rFonts w:ascii="Times New Roman" w:hAnsi="Times New Roman" w:cs="Times New Roman"/>
          <w:sz w:val="28"/>
          <w:szCs w:val="28"/>
        </w:rPr>
        <w:t xml:space="preserve"> gübre</w:t>
      </w:r>
      <w:r w:rsidR="00BA7999" w:rsidRPr="008C40A0">
        <w:rPr>
          <w:rFonts w:ascii="Times New Roman" w:hAnsi="Times New Roman" w:cs="Times New Roman"/>
          <w:sz w:val="28"/>
          <w:szCs w:val="28"/>
        </w:rPr>
        <w:t xml:space="preserve"> alımı yapılacaktır.</w:t>
      </w:r>
    </w:p>
    <w:p w:rsidR="00BF4CA9" w:rsidRDefault="00BF4CA9" w:rsidP="00BF4CA9">
      <w:pPr>
        <w:numPr>
          <w:ilvl w:val="0"/>
          <w:numId w:val="1"/>
        </w:numPr>
        <w:suppressAutoHyphens/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A9">
        <w:rPr>
          <w:rFonts w:ascii="Times New Roman" w:hAnsi="Times New Roman" w:cs="Times New Roman"/>
          <w:sz w:val="28"/>
          <w:szCs w:val="28"/>
        </w:rPr>
        <w:t xml:space="preserve"> Gübre paketleri </w:t>
      </w:r>
      <w:r>
        <w:rPr>
          <w:rFonts w:ascii="Times New Roman" w:hAnsi="Times New Roman" w:cs="Times New Roman"/>
          <w:sz w:val="28"/>
          <w:szCs w:val="28"/>
        </w:rPr>
        <w:t>50 kg ol</w:t>
      </w:r>
      <w:r w:rsidRPr="00BF4CA9">
        <w:rPr>
          <w:rFonts w:ascii="Times New Roman" w:hAnsi="Times New Roman" w:cs="Times New Roman"/>
          <w:sz w:val="28"/>
          <w:szCs w:val="28"/>
        </w:rPr>
        <w:t>malıdır.</w:t>
      </w:r>
    </w:p>
    <w:p w:rsidR="00E621A0" w:rsidRPr="00BF4CA9" w:rsidRDefault="00E621A0" w:rsidP="00BF4CA9">
      <w:pPr>
        <w:numPr>
          <w:ilvl w:val="0"/>
          <w:numId w:val="1"/>
        </w:numPr>
        <w:suppressAutoHyphens/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 pakette, GTS bandrolü takılı </w:t>
      </w:r>
      <w:r w:rsidR="00D542D4">
        <w:rPr>
          <w:rFonts w:ascii="Times New Roman" w:hAnsi="Times New Roman" w:cs="Times New Roman"/>
          <w:sz w:val="28"/>
          <w:szCs w:val="28"/>
        </w:rPr>
        <w:t>olmalıdır.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49" w:rsidRPr="008C40A0" w:rsidRDefault="00A7035D" w:rsidP="00833A76">
      <w:pPr>
        <w:numPr>
          <w:ilvl w:val="0"/>
          <w:numId w:val="1"/>
        </w:numPr>
        <w:suppressAutoHyphens/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A0">
        <w:rPr>
          <w:rFonts w:ascii="Times New Roman" w:hAnsi="Times New Roman" w:cs="Times New Roman"/>
          <w:sz w:val="28"/>
          <w:szCs w:val="28"/>
        </w:rPr>
        <w:t xml:space="preserve">Gübrelerin </w:t>
      </w:r>
      <w:r w:rsidR="001B6050">
        <w:rPr>
          <w:rFonts w:ascii="Times New Roman" w:hAnsi="Times New Roman" w:cs="Times New Roman"/>
          <w:sz w:val="28"/>
          <w:szCs w:val="28"/>
        </w:rPr>
        <w:t xml:space="preserve">yukarıda belirtilen köylere </w:t>
      </w:r>
      <w:r w:rsidR="001A281C" w:rsidRPr="008C40A0">
        <w:rPr>
          <w:rFonts w:ascii="Times New Roman" w:hAnsi="Times New Roman" w:cs="Times New Roman"/>
          <w:sz w:val="28"/>
          <w:szCs w:val="28"/>
        </w:rPr>
        <w:t>n</w:t>
      </w:r>
      <w:r w:rsidR="00A75C7F" w:rsidRPr="008C40A0">
        <w:rPr>
          <w:rFonts w:ascii="Times New Roman" w:hAnsi="Times New Roman" w:cs="Times New Roman"/>
          <w:sz w:val="28"/>
          <w:szCs w:val="28"/>
        </w:rPr>
        <w:t>akliye</w:t>
      </w:r>
      <w:r w:rsidR="001B6050">
        <w:rPr>
          <w:rFonts w:ascii="Times New Roman" w:hAnsi="Times New Roman" w:cs="Times New Roman"/>
          <w:sz w:val="28"/>
          <w:szCs w:val="28"/>
        </w:rPr>
        <w:t xml:space="preserve">si </w:t>
      </w:r>
      <w:r w:rsidR="002D4DF9" w:rsidRPr="008C40A0">
        <w:rPr>
          <w:rFonts w:ascii="Times New Roman" w:hAnsi="Times New Roman" w:cs="Times New Roman"/>
          <w:sz w:val="28"/>
          <w:szCs w:val="28"/>
        </w:rPr>
        <w:t xml:space="preserve">yüklenici firmaya aittir. Bu işlemlerde yaşanacak problemlerden </w:t>
      </w:r>
      <w:r w:rsidR="00192049" w:rsidRPr="008C40A0">
        <w:rPr>
          <w:rFonts w:ascii="Times New Roman" w:hAnsi="Times New Roman" w:cs="Times New Roman"/>
          <w:sz w:val="28"/>
          <w:szCs w:val="28"/>
        </w:rPr>
        <w:t>kurumumuz sorumlu değildir</w:t>
      </w:r>
      <w:r w:rsidR="002D4DF9" w:rsidRPr="008C40A0">
        <w:rPr>
          <w:rFonts w:ascii="Times New Roman" w:hAnsi="Times New Roman" w:cs="Times New Roman"/>
          <w:sz w:val="28"/>
          <w:szCs w:val="28"/>
        </w:rPr>
        <w:t>.</w:t>
      </w:r>
    </w:p>
    <w:p w:rsidR="00AA0EC4" w:rsidRPr="008C40A0" w:rsidRDefault="00AA70F8" w:rsidP="00C04CBC">
      <w:pPr>
        <w:pStyle w:val="NormalWeb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ind w:left="1276" w:firstLine="567"/>
        <w:jc w:val="both"/>
        <w:rPr>
          <w:color w:val="000000"/>
          <w:sz w:val="28"/>
          <w:szCs w:val="28"/>
        </w:rPr>
      </w:pPr>
      <w:r w:rsidRPr="008C40A0">
        <w:rPr>
          <w:sz w:val="28"/>
          <w:szCs w:val="28"/>
        </w:rPr>
        <w:t>G</w:t>
      </w:r>
      <w:r w:rsidR="00817D2E" w:rsidRPr="008C40A0">
        <w:rPr>
          <w:sz w:val="28"/>
          <w:szCs w:val="28"/>
        </w:rPr>
        <w:t>übre</w:t>
      </w:r>
      <w:r w:rsidR="00D31B11" w:rsidRPr="008C40A0">
        <w:rPr>
          <w:sz w:val="28"/>
          <w:szCs w:val="28"/>
        </w:rPr>
        <w:t>le</w:t>
      </w:r>
      <w:r w:rsidR="00817D2E" w:rsidRPr="008C40A0">
        <w:rPr>
          <w:sz w:val="28"/>
          <w:szCs w:val="28"/>
        </w:rPr>
        <w:t>rin</w:t>
      </w:r>
      <w:r w:rsidRPr="008C40A0">
        <w:rPr>
          <w:sz w:val="28"/>
          <w:szCs w:val="28"/>
        </w:rPr>
        <w:t xml:space="preserve"> </w:t>
      </w:r>
      <w:r w:rsidR="00AA0EC4" w:rsidRPr="008C40A0">
        <w:rPr>
          <w:sz w:val="28"/>
          <w:szCs w:val="28"/>
        </w:rPr>
        <w:t>teknik özelliklerin</w:t>
      </w:r>
      <w:r w:rsidR="00D31B11" w:rsidRPr="008C40A0">
        <w:rPr>
          <w:sz w:val="28"/>
          <w:szCs w:val="28"/>
        </w:rPr>
        <w:t>in</w:t>
      </w:r>
      <w:r w:rsidR="00AA0EC4" w:rsidRPr="008C40A0">
        <w:rPr>
          <w:sz w:val="28"/>
          <w:szCs w:val="28"/>
        </w:rPr>
        <w:t xml:space="preserve"> istenilen şekilde olduğun</w:t>
      </w:r>
      <w:r w:rsidR="00D31B11" w:rsidRPr="008C40A0">
        <w:rPr>
          <w:sz w:val="28"/>
          <w:szCs w:val="28"/>
        </w:rPr>
        <w:t>u</w:t>
      </w:r>
      <w:r w:rsidR="00745866" w:rsidRPr="008C40A0">
        <w:rPr>
          <w:sz w:val="28"/>
          <w:szCs w:val="28"/>
        </w:rPr>
        <w:t xml:space="preserve"> yüklenici firma taahhüt eder. Teslim esnasında ve sonrasında, </w:t>
      </w:r>
      <w:r w:rsidR="00AA0EC4" w:rsidRPr="008C40A0">
        <w:rPr>
          <w:sz w:val="28"/>
          <w:szCs w:val="28"/>
        </w:rPr>
        <w:t>bu özelliklerin doğru olmadığının tespit edilmesi duru</w:t>
      </w:r>
      <w:r w:rsidR="0066418A" w:rsidRPr="008C40A0">
        <w:rPr>
          <w:sz w:val="28"/>
          <w:szCs w:val="28"/>
        </w:rPr>
        <w:t>munda oluşacak zararlar (t</w:t>
      </w:r>
      <w:r w:rsidR="00F214DF" w:rsidRPr="008C40A0">
        <w:rPr>
          <w:sz w:val="28"/>
          <w:szCs w:val="28"/>
        </w:rPr>
        <w:t>espit,</w:t>
      </w:r>
      <w:r w:rsidR="0066418A" w:rsidRPr="008C40A0">
        <w:rPr>
          <w:sz w:val="28"/>
          <w:szCs w:val="28"/>
        </w:rPr>
        <w:t xml:space="preserve"> Tarım Orman İl Müdürlüğünce oluşturula</w:t>
      </w:r>
      <w:r w:rsidR="00AA0EC4" w:rsidRPr="008C40A0">
        <w:rPr>
          <w:sz w:val="28"/>
          <w:szCs w:val="28"/>
        </w:rPr>
        <w:t>cak üç kişilik komisyonca</w:t>
      </w:r>
      <w:r w:rsidR="00F214DF" w:rsidRPr="008C40A0">
        <w:rPr>
          <w:sz w:val="28"/>
          <w:szCs w:val="28"/>
        </w:rPr>
        <w:t xml:space="preserve"> yapılacaktır</w:t>
      </w:r>
      <w:r w:rsidR="00D8000E" w:rsidRPr="008C40A0">
        <w:rPr>
          <w:sz w:val="28"/>
          <w:szCs w:val="28"/>
        </w:rPr>
        <w:t>) gübre</w:t>
      </w:r>
      <w:r w:rsidR="00AA0EC4" w:rsidRPr="008C40A0">
        <w:rPr>
          <w:sz w:val="28"/>
          <w:szCs w:val="28"/>
        </w:rPr>
        <w:t xml:space="preserve"> </w:t>
      </w:r>
      <w:r w:rsidR="00AA0EC4" w:rsidRPr="008C40A0">
        <w:rPr>
          <w:color w:val="000000"/>
          <w:sz w:val="28"/>
          <w:szCs w:val="28"/>
        </w:rPr>
        <w:t>tedarikçisi tarafından karşılanır.</w:t>
      </w:r>
    </w:p>
    <w:p w:rsidR="005D5C55" w:rsidRPr="00122573" w:rsidRDefault="00D8000E" w:rsidP="00B83A31">
      <w:pPr>
        <w:numPr>
          <w:ilvl w:val="0"/>
          <w:numId w:val="1"/>
        </w:numPr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573">
        <w:rPr>
          <w:rFonts w:ascii="Times New Roman" w:hAnsi="Times New Roman" w:cs="Times New Roman"/>
          <w:sz w:val="28"/>
          <w:szCs w:val="28"/>
        </w:rPr>
        <w:t xml:space="preserve">Gübreler </w:t>
      </w:r>
      <w:r w:rsidR="005D5C55" w:rsidRPr="00122573">
        <w:rPr>
          <w:rFonts w:ascii="Times New Roman" w:hAnsi="Times New Roman" w:cs="Times New Roman"/>
          <w:sz w:val="28"/>
          <w:szCs w:val="28"/>
        </w:rPr>
        <w:t>Tarım ve Orma</w:t>
      </w:r>
      <w:r w:rsidR="00DB7139" w:rsidRPr="00122573">
        <w:rPr>
          <w:rFonts w:ascii="Times New Roman" w:hAnsi="Times New Roman" w:cs="Times New Roman"/>
          <w:sz w:val="28"/>
          <w:szCs w:val="28"/>
        </w:rPr>
        <w:t>n Bakanlığı'ndan alınmış Gübre</w:t>
      </w:r>
      <w:r w:rsidR="005D5C55" w:rsidRPr="00122573">
        <w:rPr>
          <w:rFonts w:ascii="Times New Roman" w:hAnsi="Times New Roman" w:cs="Times New Roman"/>
          <w:sz w:val="28"/>
          <w:szCs w:val="28"/>
        </w:rPr>
        <w:t xml:space="preserve"> Bayiliği İzin Belgesi'ne sahip kişi veya kuruluşlardan alınacaktır. Teklifler bu belgelerin onaylı suretleri ile birlikte verilmelidir.</w:t>
      </w:r>
    </w:p>
    <w:p w:rsidR="005D5C55" w:rsidRPr="008C40A0" w:rsidRDefault="00B94ABB" w:rsidP="00B83A31">
      <w:pPr>
        <w:pStyle w:val="NormalWeb"/>
        <w:numPr>
          <w:ilvl w:val="0"/>
          <w:numId w:val="1"/>
        </w:numPr>
        <w:spacing w:before="0" w:beforeAutospacing="0" w:after="0" w:afterAutospacing="0"/>
        <w:ind w:left="1276" w:firstLine="567"/>
        <w:jc w:val="both"/>
        <w:rPr>
          <w:color w:val="000000"/>
          <w:sz w:val="28"/>
          <w:szCs w:val="28"/>
        </w:rPr>
      </w:pPr>
      <w:r w:rsidRPr="008C40A0">
        <w:rPr>
          <w:color w:val="000000"/>
          <w:sz w:val="28"/>
          <w:szCs w:val="28"/>
        </w:rPr>
        <w:t>Her türlü belge resmi kurumlardan alınacak olup, fotokopi evraklara aslının aynıdır kaşesi</w:t>
      </w:r>
      <w:r w:rsidR="00F8428C" w:rsidRPr="008C40A0">
        <w:rPr>
          <w:color w:val="000000"/>
          <w:sz w:val="28"/>
          <w:szCs w:val="28"/>
        </w:rPr>
        <w:t xml:space="preserve"> yine ilgili kurum tarafından</w:t>
      </w:r>
      <w:r w:rsidRPr="008C40A0">
        <w:rPr>
          <w:color w:val="000000"/>
          <w:sz w:val="28"/>
          <w:szCs w:val="28"/>
        </w:rPr>
        <w:t xml:space="preserve"> vurulmalıdır</w:t>
      </w:r>
      <w:r w:rsidR="00F8428C" w:rsidRPr="008C40A0">
        <w:rPr>
          <w:color w:val="000000"/>
          <w:sz w:val="28"/>
          <w:szCs w:val="28"/>
        </w:rPr>
        <w:t>.</w:t>
      </w:r>
    </w:p>
    <w:p w:rsidR="004B173D" w:rsidRDefault="00123EEA" w:rsidP="00B83A31">
      <w:pPr>
        <w:numPr>
          <w:ilvl w:val="0"/>
          <w:numId w:val="1"/>
        </w:numPr>
        <w:spacing w:after="120" w:line="240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A0">
        <w:rPr>
          <w:rFonts w:ascii="Times New Roman" w:hAnsi="Times New Roman" w:cs="Times New Roman"/>
          <w:sz w:val="28"/>
          <w:szCs w:val="28"/>
        </w:rPr>
        <w:lastRenderedPageBreak/>
        <w:t>Alıcı</w:t>
      </w:r>
      <w:r w:rsidR="00712E1A" w:rsidRPr="008C40A0">
        <w:rPr>
          <w:rFonts w:ascii="Times New Roman" w:hAnsi="Times New Roman" w:cs="Times New Roman"/>
          <w:sz w:val="28"/>
          <w:szCs w:val="28"/>
        </w:rPr>
        <w:t xml:space="preserve"> (</w:t>
      </w:r>
      <w:r w:rsidR="00E533BA" w:rsidRPr="008C40A0">
        <w:rPr>
          <w:rFonts w:ascii="Times New Roman" w:hAnsi="Times New Roman" w:cs="Times New Roman"/>
          <w:sz w:val="28"/>
          <w:szCs w:val="28"/>
        </w:rPr>
        <w:t>TOM)</w:t>
      </w:r>
      <w:r w:rsidRPr="008C40A0">
        <w:rPr>
          <w:rFonts w:ascii="Times New Roman" w:hAnsi="Times New Roman" w:cs="Times New Roman"/>
          <w:sz w:val="28"/>
          <w:szCs w:val="28"/>
        </w:rPr>
        <w:t xml:space="preserve"> tedarikçinin mal/ürünleri belirlenen esas ve usullere göre temin edememesi durumunda, alıcı 7 günlük bildirim süresinden sonra satın alma siparişini tek taraflı olarak </w:t>
      </w:r>
      <w:r w:rsidR="0012347D" w:rsidRPr="008C40A0">
        <w:rPr>
          <w:rFonts w:ascii="Times New Roman" w:hAnsi="Times New Roman" w:cs="Times New Roman"/>
          <w:sz w:val="28"/>
          <w:szCs w:val="28"/>
        </w:rPr>
        <w:t>fes</w:t>
      </w:r>
      <w:r w:rsidR="00352CED" w:rsidRPr="008C40A0">
        <w:rPr>
          <w:rFonts w:ascii="Times New Roman" w:hAnsi="Times New Roman" w:cs="Times New Roman"/>
          <w:sz w:val="28"/>
          <w:szCs w:val="28"/>
        </w:rPr>
        <w:t>h</w:t>
      </w:r>
      <w:r w:rsidRPr="008C40A0">
        <w:rPr>
          <w:rFonts w:ascii="Times New Roman" w:hAnsi="Times New Roman" w:cs="Times New Roman"/>
          <w:sz w:val="28"/>
          <w:szCs w:val="28"/>
        </w:rPr>
        <w:t xml:space="preserve"> edebilir. </w:t>
      </w:r>
    </w:p>
    <w:p w:rsidR="004B173D" w:rsidRPr="004B173D" w:rsidRDefault="004B173D" w:rsidP="004B173D">
      <w:pPr>
        <w:widowControl w:val="0"/>
        <w:numPr>
          <w:ilvl w:val="0"/>
          <w:numId w:val="1"/>
        </w:numPr>
        <w:spacing w:after="0" w:line="240" w:lineRule="auto"/>
        <w:ind w:left="1276" w:right="-447" w:firstLine="567"/>
        <w:rPr>
          <w:rFonts w:ascii="Times New Roman" w:hAnsi="Times New Roman" w:cs="Times New Roman"/>
          <w:bCs/>
          <w:sz w:val="28"/>
          <w:szCs w:val="28"/>
        </w:rPr>
      </w:pPr>
      <w:r w:rsidRPr="004B173D">
        <w:rPr>
          <w:rFonts w:ascii="Times New Roman" w:hAnsi="Times New Roman" w:cs="Times New Roman"/>
          <w:sz w:val="28"/>
          <w:szCs w:val="28"/>
        </w:rPr>
        <w:t>İmalatçı Yetki [Teklifi veren firma teklif ettiği ürünün üretici firması değilse söz konusu ürünün üreticisi/imalatçısı/distribütörü tarafından düzenlenmiş, teklif veren firmanın bu malı tedarik etmeye/satmaya yetkili olduğunu gösteren Yetkili Satıcı (Tedarikçi), ve/veya Bayilik ve/veya Distribütörlük belgesi.]</w:t>
      </w:r>
    </w:p>
    <w:p w:rsidR="00535AE9" w:rsidRPr="004B173D" w:rsidRDefault="00123EEA" w:rsidP="004B173D">
      <w:pPr>
        <w:numPr>
          <w:ilvl w:val="0"/>
          <w:numId w:val="1"/>
        </w:numPr>
        <w:spacing w:after="120" w:line="240" w:lineRule="auto"/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173D">
        <w:rPr>
          <w:rFonts w:ascii="Times New Roman" w:hAnsi="Times New Roman" w:cs="Times New Roman"/>
          <w:sz w:val="28"/>
          <w:szCs w:val="28"/>
        </w:rPr>
        <w:t>İhtilaf halinde Tokat Mahkemeleri yetkili olacaktır.</w:t>
      </w:r>
    </w:p>
    <w:p w:rsidR="00B005B4" w:rsidRPr="004B173D" w:rsidRDefault="00B005B4" w:rsidP="00E23C0D">
      <w:pPr>
        <w:pStyle w:val="NormalWeb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527D23" w:rsidRPr="004B173D" w:rsidRDefault="00527D23" w:rsidP="00E23C0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27D23" w:rsidRPr="004B173D" w:rsidSect="00F33913">
      <w:pgSz w:w="11906" w:h="16838"/>
      <w:pgMar w:top="142" w:right="1133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24A"/>
    <w:multiLevelType w:val="hybridMultilevel"/>
    <w:tmpl w:val="033C9380"/>
    <w:lvl w:ilvl="0" w:tplc="83B087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B46FF2"/>
    <w:multiLevelType w:val="hybridMultilevel"/>
    <w:tmpl w:val="033C9380"/>
    <w:lvl w:ilvl="0" w:tplc="83B08746">
      <w:start w:val="1"/>
      <w:numFmt w:val="decimal"/>
      <w:lvlText w:val="%1-"/>
      <w:lvlJc w:val="left"/>
      <w:pPr>
        <w:ind w:left="220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89A4C5D"/>
    <w:multiLevelType w:val="hybridMultilevel"/>
    <w:tmpl w:val="21287B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82C63"/>
    <w:multiLevelType w:val="hybridMultilevel"/>
    <w:tmpl w:val="029EBE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2C"/>
    <w:rsid w:val="000119D7"/>
    <w:rsid w:val="00027BBA"/>
    <w:rsid w:val="0003583A"/>
    <w:rsid w:val="00037D70"/>
    <w:rsid w:val="0004144F"/>
    <w:rsid w:val="00086251"/>
    <w:rsid w:val="00092C5E"/>
    <w:rsid w:val="000D69B7"/>
    <w:rsid w:val="000E24EF"/>
    <w:rsid w:val="000F2B25"/>
    <w:rsid w:val="00104D9B"/>
    <w:rsid w:val="00110245"/>
    <w:rsid w:val="00113367"/>
    <w:rsid w:val="00122573"/>
    <w:rsid w:val="0012347D"/>
    <w:rsid w:val="00123EEA"/>
    <w:rsid w:val="001262C0"/>
    <w:rsid w:val="00134EFA"/>
    <w:rsid w:val="00155860"/>
    <w:rsid w:val="0016266E"/>
    <w:rsid w:val="0016445A"/>
    <w:rsid w:val="0019185B"/>
    <w:rsid w:val="00191A1F"/>
    <w:rsid w:val="00192049"/>
    <w:rsid w:val="001A281C"/>
    <w:rsid w:val="001B6050"/>
    <w:rsid w:val="001B6B2E"/>
    <w:rsid w:val="001C598C"/>
    <w:rsid w:val="001C6AFB"/>
    <w:rsid w:val="001D73AD"/>
    <w:rsid w:val="001F3086"/>
    <w:rsid w:val="002115CF"/>
    <w:rsid w:val="00220E99"/>
    <w:rsid w:val="002631EC"/>
    <w:rsid w:val="002710A1"/>
    <w:rsid w:val="00274A70"/>
    <w:rsid w:val="002B27C0"/>
    <w:rsid w:val="002B37C2"/>
    <w:rsid w:val="002B6DA1"/>
    <w:rsid w:val="002C02C7"/>
    <w:rsid w:val="002C7072"/>
    <w:rsid w:val="002D4DF9"/>
    <w:rsid w:val="002E1EB1"/>
    <w:rsid w:val="002F472B"/>
    <w:rsid w:val="002F56E7"/>
    <w:rsid w:val="00300CD4"/>
    <w:rsid w:val="003050E8"/>
    <w:rsid w:val="00321E91"/>
    <w:rsid w:val="00323CF0"/>
    <w:rsid w:val="00324D87"/>
    <w:rsid w:val="00352CED"/>
    <w:rsid w:val="00362B1C"/>
    <w:rsid w:val="00374C0B"/>
    <w:rsid w:val="003777BA"/>
    <w:rsid w:val="00384967"/>
    <w:rsid w:val="00393B2E"/>
    <w:rsid w:val="00397246"/>
    <w:rsid w:val="003A3720"/>
    <w:rsid w:val="003A685D"/>
    <w:rsid w:val="003B1264"/>
    <w:rsid w:val="003B1525"/>
    <w:rsid w:val="003B6069"/>
    <w:rsid w:val="003D7A31"/>
    <w:rsid w:val="003F033A"/>
    <w:rsid w:val="00414A9D"/>
    <w:rsid w:val="00415FE9"/>
    <w:rsid w:val="00415FFC"/>
    <w:rsid w:val="00437A6F"/>
    <w:rsid w:val="00460537"/>
    <w:rsid w:val="00473708"/>
    <w:rsid w:val="00477F5D"/>
    <w:rsid w:val="00497235"/>
    <w:rsid w:val="004B173D"/>
    <w:rsid w:val="004C0C4F"/>
    <w:rsid w:val="004D5C20"/>
    <w:rsid w:val="004F02A9"/>
    <w:rsid w:val="00527D23"/>
    <w:rsid w:val="00535AE9"/>
    <w:rsid w:val="00544C43"/>
    <w:rsid w:val="005553CD"/>
    <w:rsid w:val="00565406"/>
    <w:rsid w:val="00583B12"/>
    <w:rsid w:val="0059188C"/>
    <w:rsid w:val="00593C78"/>
    <w:rsid w:val="005A078D"/>
    <w:rsid w:val="005A315B"/>
    <w:rsid w:val="005B3EFD"/>
    <w:rsid w:val="005C6E43"/>
    <w:rsid w:val="005D5C55"/>
    <w:rsid w:val="005E2206"/>
    <w:rsid w:val="005F5C29"/>
    <w:rsid w:val="005F7EF0"/>
    <w:rsid w:val="00604D05"/>
    <w:rsid w:val="006175A9"/>
    <w:rsid w:val="00624106"/>
    <w:rsid w:val="0063013E"/>
    <w:rsid w:val="006379BE"/>
    <w:rsid w:val="0064302A"/>
    <w:rsid w:val="0066418A"/>
    <w:rsid w:val="00677A57"/>
    <w:rsid w:val="00686263"/>
    <w:rsid w:val="00695BF6"/>
    <w:rsid w:val="006B19C3"/>
    <w:rsid w:val="006B1A6A"/>
    <w:rsid w:val="006E4409"/>
    <w:rsid w:val="006E458F"/>
    <w:rsid w:val="006E6606"/>
    <w:rsid w:val="006F1935"/>
    <w:rsid w:val="00712DD2"/>
    <w:rsid w:val="00712E1A"/>
    <w:rsid w:val="00721905"/>
    <w:rsid w:val="007436DA"/>
    <w:rsid w:val="00745866"/>
    <w:rsid w:val="00746A22"/>
    <w:rsid w:val="0078029D"/>
    <w:rsid w:val="007B3183"/>
    <w:rsid w:val="007E0F88"/>
    <w:rsid w:val="007E5DC7"/>
    <w:rsid w:val="007F6503"/>
    <w:rsid w:val="00815DC5"/>
    <w:rsid w:val="00817D2E"/>
    <w:rsid w:val="00824CC0"/>
    <w:rsid w:val="00833A76"/>
    <w:rsid w:val="00834EE0"/>
    <w:rsid w:val="008368EF"/>
    <w:rsid w:val="00842BD1"/>
    <w:rsid w:val="008442D4"/>
    <w:rsid w:val="00850388"/>
    <w:rsid w:val="008711E3"/>
    <w:rsid w:val="00881078"/>
    <w:rsid w:val="008811CC"/>
    <w:rsid w:val="00895DA6"/>
    <w:rsid w:val="008A4B82"/>
    <w:rsid w:val="008A78B5"/>
    <w:rsid w:val="008B1FAC"/>
    <w:rsid w:val="008B2F0D"/>
    <w:rsid w:val="008B5CA7"/>
    <w:rsid w:val="008C40A0"/>
    <w:rsid w:val="008C564C"/>
    <w:rsid w:val="008D4811"/>
    <w:rsid w:val="008E23B1"/>
    <w:rsid w:val="008F2BAF"/>
    <w:rsid w:val="0091230B"/>
    <w:rsid w:val="009216C0"/>
    <w:rsid w:val="00924166"/>
    <w:rsid w:val="009365E9"/>
    <w:rsid w:val="009643C3"/>
    <w:rsid w:val="00972AD5"/>
    <w:rsid w:val="009801B9"/>
    <w:rsid w:val="00987066"/>
    <w:rsid w:val="00992652"/>
    <w:rsid w:val="009A3FDE"/>
    <w:rsid w:val="009C1CBD"/>
    <w:rsid w:val="009C4E16"/>
    <w:rsid w:val="009D050A"/>
    <w:rsid w:val="009D25C6"/>
    <w:rsid w:val="009F2539"/>
    <w:rsid w:val="00A029EB"/>
    <w:rsid w:val="00A211C9"/>
    <w:rsid w:val="00A22BE8"/>
    <w:rsid w:val="00A34236"/>
    <w:rsid w:val="00A6315C"/>
    <w:rsid w:val="00A657CA"/>
    <w:rsid w:val="00A7035D"/>
    <w:rsid w:val="00A75C7F"/>
    <w:rsid w:val="00A9080A"/>
    <w:rsid w:val="00A966A2"/>
    <w:rsid w:val="00A96B2E"/>
    <w:rsid w:val="00A97257"/>
    <w:rsid w:val="00AA0EC4"/>
    <w:rsid w:val="00AA467E"/>
    <w:rsid w:val="00AA7076"/>
    <w:rsid w:val="00AA70F8"/>
    <w:rsid w:val="00AB4868"/>
    <w:rsid w:val="00AB7866"/>
    <w:rsid w:val="00AD1170"/>
    <w:rsid w:val="00AD329E"/>
    <w:rsid w:val="00AD534F"/>
    <w:rsid w:val="00AE32C5"/>
    <w:rsid w:val="00B005B4"/>
    <w:rsid w:val="00B02B78"/>
    <w:rsid w:val="00B02BD2"/>
    <w:rsid w:val="00B03465"/>
    <w:rsid w:val="00B129CF"/>
    <w:rsid w:val="00B1721D"/>
    <w:rsid w:val="00B339C3"/>
    <w:rsid w:val="00B3766A"/>
    <w:rsid w:val="00B45512"/>
    <w:rsid w:val="00B64955"/>
    <w:rsid w:val="00B74399"/>
    <w:rsid w:val="00B83A31"/>
    <w:rsid w:val="00B94ABB"/>
    <w:rsid w:val="00B951E2"/>
    <w:rsid w:val="00BA47DA"/>
    <w:rsid w:val="00BA7999"/>
    <w:rsid w:val="00BD5DF6"/>
    <w:rsid w:val="00BE0D75"/>
    <w:rsid w:val="00BE1B08"/>
    <w:rsid w:val="00BF4CA9"/>
    <w:rsid w:val="00C04CBC"/>
    <w:rsid w:val="00C17CFA"/>
    <w:rsid w:val="00C251D3"/>
    <w:rsid w:val="00C26B6A"/>
    <w:rsid w:val="00C27623"/>
    <w:rsid w:val="00C3502C"/>
    <w:rsid w:val="00C63037"/>
    <w:rsid w:val="00C70B72"/>
    <w:rsid w:val="00C90234"/>
    <w:rsid w:val="00CA09F0"/>
    <w:rsid w:val="00CA67BC"/>
    <w:rsid w:val="00CE4043"/>
    <w:rsid w:val="00D0176F"/>
    <w:rsid w:val="00D06150"/>
    <w:rsid w:val="00D31B11"/>
    <w:rsid w:val="00D44989"/>
    <w:rsid w:val="00D542D4"/>
    <w:rsid w:val="00D63DD6"/>
    <w:rsid w:val="00D76046"/>
    <w:rsid w:val="00D8000E"/>
    <w:rsid w:val="00D813A2"/>
    <w:rsid w:val="00DA0657"/>
    <w:rsid w:val="00DB5EBE"/>
    <w:rsid w:val="00DB7139"/>
    <w:rsid w:val="00DC3545"/>
    <w:rsid w:val="00DD14DD"/>
    <w:rsid w:val="00DE1AC1"/>
    <w:rsid w:val="00DE5F09"/>
    <w:rsid w:val="00DF33E6"/>
    <w:rsid w:val="00E23C0D"/>
    <w:rsid w:val="00E2750F"/>
    <w:rsid w:val="00E34B82"/>
    <w:rsid w:val="00E37B0B"/>
    <w:rsid w:val="00E43877"/>
    <w:rsid w:val="00E533BA"/>
    <w:rsid w:val="00E5616D"/>
    <w:rsid w:val="00E57DDE"/>
    <w:rsid w:val="00E621A0"/>
    <w:rsid w:val="00E818EA"/>
    <w:rsid w:val="00E91DDC"/>
    <w:rsid w:val="00EA5F30"/>
    <w:rsid w:val="00EB4D07"/>
    <w:rsid w:val="00ED1BAA"/>
    <w:rsid w:val="00ED481D"/>
    <w:rsid w:val="00F214DF"/>
    <w:rsid w:val="00F216E0"/>
    <w:rsid w:val="00F32288"/>
    <w:rsid w:val="00F33913"/>
    <w:rsid w:val="00F61B61"/>
    <w:rsid w:val="00F62769"/>
    <w:rsid w:val="00F8428C"/>
    <w:rsid w:val="00FA70BD"/>
    <w:rsid w:val="00FB176C"/>
    <w:rsid w:val="00FC5EA3"/>
    <w:rsid w:val="00FC64B7"/>
    <w:rsid w:val="00FD7135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2A7-CE46-4211-A7EE-42A4C31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qFormat/>
    <w:rsid w:val="004D5C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3097D-CD5A-40FD-922E-3AE7C5601680}"/>
</file>

<file path=customXml/itemProps2.xml><?xml version="1.0" encoding="utf-8"?>
<ds:datastoreItem xmlns:ds="http://schemas.openxmlformats.org/officeDocument/2006/customXml" ds:itemID="{8EAF8AAB-89A9-46A7-AA78-CBB16A56DD4F}"/>
</file>

<file path=customXml/itemProps3.xml><?xml version="1.0" encoding="utf-8"?>
<ds:datastoreItem xmlns:ds="http://schemas.openxmlformats.org/officeDocument/2006/customXml" ds:itemID="{BEB8FCC9-6C09-4189-8FA6-8F2C64057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ŞAHİN</dc:creator>
  <cp:keywords/>
  <dc:description/>
  <cp:lastModifiedBy>Mustafa KOÇ</cp:lastModifiedBy>
  <cp:revision>2</cp:revision>
  <cp:lastPrinted>2022-08-23T10:43:00Z</cp:lastPrinted>
  <dcterms:created xsi:type="dcterms:W3CDTF">2022-11-07T07:01:00Z</dcterms:created>
  <dcterms:modified xsi:type="dcterms:W3CDTF">2022-11-07T07:01:00Z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